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01" w:rsidRPr="00CD14CF" w:rsidRDefault="00CD14CF" w:rsidP="00CD14C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PS-BoldMT"/>
          <w:b/>
          <w:bCs/>
          <w:sz w:val="28"/>
          <w:szCs w:val="28"/>
        </w:rPr>
      </w:pPr>
      <w:bookmarkStart w:id="0" w:name="_GoBack"/>
      <w:bookmarkEnd w:id="0"/>
      <w:r w:rsidRPr="00CD14CF">
        <w:rPr>
          <w:rFonts w:ascii="Trebuchet MS" w:hAnsi="Trebuchet MS" w:cs="TimesNewRomanPS-BoldMT"/>
          <w:b/>
          <w:bCs/>
          <w:sz w:val="28"/>
          <w:szCs w:val="28"/>
        </w:rPr>
        <w:t>Medina la del  Campo</w:t>
      </w:r>
    </w:p>
    <w:p w:rsidR="00CD14CF" w:rsidRPr="00CD14CF" w:rsidRDefault="00CD14CF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8"/>
          <w:szCs w:val="28"/>
        </w:rPr>
      </w:pP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VI</w:t>
      </w:r>
    </w:p>
    <w:p w:rsidR="007A7F6D" w:rsidRPr="00CD14CF" w:rsidRDefault="007A7F6D" w:rsidP="007A7F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NewRomanPSMT"/>
          <w:sz w:val="28"/>
          <w:szCs w:val="28"/>
        </w:rPr>
      </w:pP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Otro suceso, de que merece hablarse, recuerda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también el castillo de La Mota.</w:t>
      </w:r>
    </w:p>
    <w:p w:rsidR="007A7F6D" w:rsidRPr="00CD14CF" w:rsidRDefault="007A7F6D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Prisionero se hallaba en él, y en su torre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del homenaje, aquel famoso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>, duque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Valentinois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>, hijo del papa Alejandro VI,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que tanto ruido metió en el mundo y tanto </w:t>
      </w:r>
      <w:r w:rsidR="000B26E6" w:rsidRPr="00CD14CF">
        <w:rPr>
          <w:rFonts w:ascii="Trebuchet MS" w:hAnsi="Trebuchet MS" w:cs="Candara-Bold"/>
          <w:bCs/>
          <w:sz w:val="28"/>
          <w:szCs w:val="28"/>
        </w:rPr>
        <w:t>dio  q</w:t>
      </w:r>
      <w:r w:rsidRPr="00CD14CF">
        <w:rPr>
          <w:rFonts w:ascii="Trebuchet MS" w:hAnsi="Trebuchet MS" w:cs="TimesNewRomanPSMT"/>
          <w:sz w:val="28"/>
          <w:szCs w:val="28"/>
        </w:rPr>
        <w:t>ue hablar con sus hechos de armas, sus aventuras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novelescas y sus fechorías. Permanecía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preso en el castillo de Medina por orden de los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monarcas 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spañoles, obedeciendo  deseos e </w:t>
      </w:r>
      <w:r w:rsidRPr="00CD14CF">
        <w:rPr>
          <w:rFonts w:ascii="Trebuchet MS" w:hAnsi="Trebuchet MS" w:cs="TimesNewRomanPSMT"/>
          <w:sz w:val="28"/>
          <w:szCs w:val="28"/>
        </w:rPr>
        <w:t>instrucciones del papa Julio II, enemigo declarado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del que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hijo de Alejandro VI. Su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prisión era muy dura por consiguiente, y estaban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tomadas t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odas las medidas y precauciones </w:t>
      </w:r>
      <w:r w:rsidRPr="00CD14CF">
        <w:rPr>
          <w:rFonts w:ascii="Trebuchet MS" w:hAnsi="Trebuchet MS" w:cs="TimesNewRomanPSMT"/>
          <w:sz w:val="28"/>
          <w:szCs w:val="28"/>
        </w:rPr>
        <w:t>para guardar al encarcelado.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Pero César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proofErr w:type="spellStart"/>
      <w:r w:rsidR="0019084F"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="0019084F" w:rsidRPr="00CD14CF">
        <w:rPr>
          <w:rFonts w:ascii="Trebuchet MS" w:hAnsi="Trebuchet MS" w:cs="TimesNewRomanPSMT"/>
          <w:sz w:val="28"/>
          <w:szCs w:val="28"/>
        </w:rPr>
        <w:t xml:space="preserve"> tenía amigos resueltos a </w:t>
      </w:r>
      <w:r w:rsidR="007A7F6D" w:rsidRPr="00CD14CF">
        <w:rPr>
          <w:rFonts w:ascii="Trebuchet MS" w:hAnsi="Trebuchet MS" w:cs="TimesNewRomanPS-ItalicMT"/>
          <w:iCs/>
          <w:sz w:val="28"/>
          <w:szCs w:val="28"/>
        </w:rPr>
        <w:t xml:space="preserve"> —</w:t>
      </w:r>
      <w:r w:rsidR="000B26E6" w:rsidRPr="00CD14CF">
        <w:rPr>
          <w:rFonts w:ascii="Trebuchet MS" w:hAnsi="Trebuchet MS" w:cs="TimesNewRomanPS-ItalicMT"/>
          <w:iCs/>
          <w:sz w:val="28"/>
          <w:szCs w:val="28"/>
        </w:rPr>
        <w:t>pág. 289</w:t>
      </w:r>
      <w:r w:rsidR="007A7F6D" w:rsidRPr="00CD14CF">
        <w:rPr>
          <w:rFonts w:ascii="Trebuchet MS" w:hAnsi="Trebuchet MS" w:cs="TimesNewRomanPS-ItalicMT"/>
          <w:iCs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-ItalicMT"/>
          <w:i/>
          <w:iCs/>
          <w:sz w:val="28"/>
          <w:szCs w:val="28"/>
        </w:rPr>
        <w:t xml:space="preserve"> t</w:t>
      </w:r>
      <w:r w:rsidRPr="00CD14CF">
        <w:rPr>
          <w:rFonts w:ascii="Trebuchet MS" w:hAnsi="Trebuchet MS" w:cs="TimesNewRomanPSMT"/>
          <w:sz w:val="28"/>
          <w:szCs w:val="28"/>
        </w:rPr>
        <w:t>odo, siendo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él, por su parte, hombre que, a </w:t>
      </w:r>
      <w:r w:rsidRPr="00CD14CF">
        <w:rPr>
          <w:rFonts w:ascii="Trebuchet MS" w:hAnsi="Trebuchet MS" w:cs="TimesNewRomanPSMT"/>
          <w:sz w:val="28"/>
          <w:szCs w:val="28"/>
        </w:rPr>
        <w:t>gran acometividad y arrojo, unía elevadas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condiciones de astuto, tenaz y mañoso. Halló,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pues, manera de entenderse y comunicar con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sus amigos, de acuerdo con quienes concertó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su evasión.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Cierta noche del 1506, después de dos años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cautiverio, todo estaba preparado al efecto.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, asomado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la altísima ventana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la torre del homenaje, esperaba ansioso la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señal convenida.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Era la noche callada, imponente el silencio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y la obscuridad completa, cuando la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clamoreante</w:t>
      </w:r>
      <w:proofErr w:type="spellEnd"/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voz de una campana, la de la iglesia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San Salvador, que entonces estaba emplazada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junto al primer recinto exterior de La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Mota, comenzó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dar la hora de media noche.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Era la señal.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>, desde su encumbrada ventana,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deslizó un cordón de seda al que prendieron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una escala de cuerda tres ballesteros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estaban en el adarve</w:t>
      </w:r>
      <w:r w:rsidR="00CD14CF">
        <w:rPr>
          <w:rStyle w:val="Refdenotaalpie"/>
          <w:rFonts w:ascii="Trebuchet MS" w:hAnsi="Trebuchet MS" w:cs="TimesNewRomanPSMT"/>
          <w:sz w:val="28"/>
          <w:szCs w:val="28"/>
        </w:rPr>
        <w:footnoteReference w:id="1"/>
      </w:r>
      <w:r w:rsidRPr="00CD14CF">
        <w:rPr>
          <w:rFonts w:ascii="Trebuchet MS" w:hAnsi="Trebuchet MS" w:cs="TimesNewRomanPSMT"/>
          <w:sz w:val="28"/>
          <w:szCs w:val="28"/>
        </w:rPr>
        <w:t>, junto con el centinela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del torreón vecino, que entraba en el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complot.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Dueño ya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 de su escala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cuerda, la sujetó y comenzó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bajar por ella,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emprendiendo así su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terrible y peligroso descenso, </w:t>
      </w:r>
      <w:r w:rsidRPr="00CD14CF">
        <w:rPr>
          <w:rFonts w:ascii="Trebuchet MS" w:hAnsi="Trebuchet MS" w:cs="TimesNewRomanPSMT"/>
          <w:sz w:val="28"/>
          <w:szCs w:val="28"/>
        </w:rPr>
        <w:t>que era atrevidísima empresa en aquella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negra y tempestuosa noche, sobre aquel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abismo inso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ndable y con aquella escala 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>pág. 290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lar</w:t>
      </w:r>
      <w:r w:rsidRPr="00CD14CF">
        <w:rPr>
          <w:rFonts w:ascii="Trebuchet MS" w:hAnsi="Trebuchet MS" w:cs="TimesNewRomanPSMT"/>
          <w:sz w:val="28"/>
          <w:szCs w:val="28"/>
        </w:rPr>
        <w:t>g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uísima </w:t>
      </w:r>
      <w:r w:rsidRPr="00CD14CF">
        <w:rPr>
          <w:rFonts w:ascii="Trebuchet MS" w:hAnsi="Trebuchet MS" w:cs="TimesNewRomanPSMT"/>
          <w:sz w:val="28"/>
          <w:szCs w:val="28"/>
        </w:rPr>
        <w:t>que el viento revolvía y empujaba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un lado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otro.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lastRenderedPageBreak/>
        <w:t>De repente, y cuando en lo más crítico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su descenso estaba el prisionero, sonó la voz</w:t>
      </w:r>
      <w:r w:rsid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alarma. Habíase advertido su fuga. Gabriel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Tapia, el alcaide de la fortaleza, que tenía órdenes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muy rigurosas, corrió apresuradamente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a</w:t>
      </w:r>
      <w:r w:rsidRPr="00CD14CF">
        <w:rPr>
          <w:rFonts w:ascii="Trebuchet MS" w:hAnsi="Trebuchet MS" w:cs="TimesNewRomanPSMT"/>
          <w:sz w:val="28"/>
          <w:szCs w:val="28"/>
        </w:rPr>
        <w:t xml:space="preserve"> la celda del preso, </w:t>
      </w:r>
      <w:r w:rsidRPr="00CD14CF">
        <w:rPr>
          <w:rFonts w:ascii="Trebuchet MS" w:hAnsi="Trebuchet MS" w:cs="BookmanOldStyle"/>
          <w:sz w:val="28"/>
          <w:szCs w:val="28"/>
        </w:rPr>
        <w:t xml:space="preserve">vio </w:t>
      </w:r>
      <w:r w:rsidRPr="00CD14CF">
        <w:rPr>
          <w:rFonts w:ascii="Trebuchet MS" w:hAnsi="Trebuchet MS" w:cs="TimesNewRomanPSMT"/>
          <w:sz w:val="28"/>
          <w:szCs w:val="28"/>
        </w:rPr>
        <w:t>la ventana abierta,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la escala pendiente, y, comprendiendo por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la tensión de ésta que </w:t>
      </w:r>
      <w:r w:rsidR="000B26E6" w:rsidRPr="00CD14CF">
        <w:rPr>
          <w:rFonts w:ascii="Trebuchet MS" w:hAnsi="Trebuchet MS" w:cs="TimesNewRomanPSMT"/>
          <w:sz w:val="28"/>
          <w:szCs w:val="28"/>
        </w:rPr>
        <w:t>aún</w:t>
      </w:r>
      <w:r w:rsidRPr="00CD14CF">
        <w:rPr>
          <w:rFonts w:ascii="Trebuchet MS" w:hAnsi="Trebuchet MS" w:cs="TimesNewRomanPSMT"/>
          <w:sz w:val="28"/>
          <w:szCs w:val="28"/>
        </w:rPr>
        <w:t xml:space="preserve"> estaba colgado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ella el fugitivo, tiró de su daga y cortó las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cuerdas.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Abrazado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su escala,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 rodó al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abismo.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Afortunadamente para él, escapó de aquel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percance sólo con algunas contusiones, y,</w:t>
      </w:r>
      <w:r w:rsid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ayudado por el centinela del torreón y por los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ballesteros, pasó el foso con el agua al pecho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pudo ganar el último recinto, donde le esperaba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con los caballos la escolta de sus amigos.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Inmediatamente tomaron el camino de Navarra,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burlando la persecución, y se pusieron en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salvo.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Poco tiempo después, aquel hombre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hierro, que de tan peligrosos trances pudo escapar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durante su vida, no siendo ciertamente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el menor ni el menos terrible el de su fuga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La Mota, moría miserablemente en el pueblo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Mendavia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, de donde le llevaron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Viana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para darle sepultura en aquella iglesia.</w:t>
      </w:r>
    </w:p>
    <w:p w:rsidR="000B26E6" w:rsidRPr="00CD14CF" w:rsidRDefault="007A7F6D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0B26E6" w:rsidRPr="00CD14CF">
        <w:rPr>
          <w:rFonts w:ascii="Trebuchet MS" w:hAnsi="Trebuchet MS" w:cs="TimesNewRomanPSMT"/>
          <w:sz w:val="28"/>
          <w:szCs w:val="28"/>
        </w:rPr>
        <w:t>pág. 291</w:t>
      </w:r>
      <w:r w:rsidRPr="00CD14CF">
        <w:rPr>
          <w:rFonts w:ascii="Trebuchet MS" w:hAnsi="Trebuchet MS" w:cs="TimesNewRomanPSMT"/>
          <w:sz w:val="28"/>
          <w:szCs w:val="28"/>
        </w:rPr>
        <w:t xml:space="preserve"> —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No hace 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aún cuatro años que, hallándome </w:t>
      </w:r>
      <w:r w:rsidRPr="00CD14CF">
        <w:rPr>
          <w:rFonts w:ascii="Trebuchet MS" w:hAnsi="Trebuchet MS" w:cs="TimesNewRomanPSMT"/>
          <w:sz w:val="28"/>
          <w:szCs w:val="28"/>
        </w:rPr>
        <w:t>yo en Logro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ño, hice un viaje expresamente a </w:t>
      </w:r>
      <w:r w:rsidRPr="00CD14CF">
        <w:rPr>
          <w:rFonts w:ascii="Trebuchet MS" w:hAnsi="Trebuchet MS" w:cs="TimesNewRomanPSMT"/>
          <w:sz w:val="28"/>
          <w:szCs w:val="28"/>
        </w:rPr>
        <w:t>la vecina ciudad de Viana para recoger noticias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acerca del enterramiento de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>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0B26E6" w:rsidRPr="00CD14CF">
        <w:rPr>
          <w:rFonts w:ascii="Trebuchet MS" w:hAnsi="Trebuchet MS" w:cs="TimesNewRomanPSMT"/>
          <w:sz w:val="28"/>
          <w:szCs w:val="28"/>
        </w:rPr>
        <w:t>o</w:t>
      </w:r>
      <w:r w:rsidRPr="00CD14CF">
        <w:rPr>
          <w:rFonts w:ascii="Trebuchet MS" w:hAnsi="Trebuchet MS" w:cs="TimesNewRomanPSMT"/>
          <w:sz w:val="28"/>
          <w:szCs w:val="28"/>
        </w:rPr>
        <w:t>, mejor dicho, Borja, como allí con más propiedad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le apellidan.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Todo cuanto pude averiguar, en compañía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del alcalde de Logroño, Sr. Rodríguez Paterna,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y del de 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Viana, Sr. D. Víctor Cereceda, a  </w:t>
      </w:r>
      <w:r w:rsidRPr="00CD14CF">
        <w:rPr>
          <w:rFonts w:ascii="Trebuchet MS" w:hAnsi="Trebuchet MS" w:cs="TimesNewRomanPSMT"/>
          <w:sz w:val="28"/>
          <w:szCs w:val="28"/>
        </w:rPr>
        <w:t xml:space="preserve">quienes debí particulares atenciones,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muy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poco.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No hay, en efecto, ninguna duda de haber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muerto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 en una reyerta y choque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armas que tuvo en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Mendavia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>; su cuerpo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llevado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Viana y enterrado en su iglesia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mayor, al lado derecho del presbiterio, bajo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un arco.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Vino luego un prelado, y, fundándose en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que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 había muerto excomulgado,</w:t>
      </w:r>
      <w:r w:rsid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hizo romper la lápida de su tumba y trasladar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sus restos al patio, campo </w:t>
      </w:r>
      <w:r w:rsidR="000B26E6" w:rsidRPr="00CD14CF">
        <w:rPr>
          <w:rFonts w:ascii="Trebuchet MS" w:hAnsi="Trebuchet MS" w:cs="TimesNewRomanPSMT"/>
          <w:sz w:val="28"/>
          <w:szCs w:val="28"/>
        </w:rPr>
        <w:t>o</w:t>
      </w:r>
      <w:r w:rsidRPr="00CD14CF">
        <w:rPr>
          <w:rFonts w:ascii="Trebuchet MS" w:hAnsi="Trebuchet MS" w:cs="TimesNewRomanPSMT"/>
          <w:sz w:val="28"/>
          <w:szCs w:val="28"/>
        </w:rPr>
        <w:t xml:space="preserve"> terrero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hay delante de la iglesia. Allí fueron sepultados,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orilla de la puerta principal, para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pudieran pisotearlos cuantos entraran, y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hasta me dijeron que más tarde aun volvieron</w:t>
      </w:r>
      <w:r w:rsid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aquellos restos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sufrir una nueva traslación,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siendo llevados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la calle y al arroyo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ésta, donde se les </w:t>
      </w:r>
      <w:r w:rsidRPr="00CD14CF">
        <w:rPr>
          <w:rFonts w:ascii="Trebuchet MS" w:hAnsi="Trebuchet MS" w:cs="Candara-Bold"/>
          <w:bCs/>
          <w:sz w:val="28"/>
          <w:szCs w:val="28"/>
        </w:rPr>
        <w:t>dio</w:t>
      </w:r>
      <w:r w:rsidRPr="00CD14CF">
        <w:rPr>
          <w:rFonts w:ascii="Trebuchet MS" w:hAnsi="Trebuchet MS" w:cs="Candara-Bold"/>
          <w:b/>
          <w:bCs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muy somera sepultura.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proofErr w:type="spellStart"/>
      <w:r w:rsidRPr="00CD14CF">
        <w:rPr>
          <w:rFonts w:ascii="Trebuchet MS" w:hAnsi="Trebuchet MS" w:cs="TimesNewRomanPSMT"/>
          <w:sz w:val="28"/>
          <w:szCs w:val="28"/>
        </w:rPr>
        <w:t>Dijéronme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 también que en su lápida de la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proofErr w:type="spellStart"/>
      <w:r w:rsidR="000B26E6" w:rsidRPr="00CD14CF">
        <w:rPr>
          <w:rFonts w:ascii="Trebuchet MS" w:hAnsi="Trebuchet MS" w:cs="TimesNewRomanPSMT"/>
          <w:sz w:val="28"/>
          <w:szCs w:val="28"/>
        </w:rPr>
        <w:t>pag</w:t>
      </w:r>
      <w:proofErr w:type="spellEnd"/>
      <w:r w:rsidR="000B26E6" w:rsidRPr="00CD14CF">
        <w:rPr>
          <w:rFonts w:ascii="Trebuchet MS" w:hAnsi="Trebuchet MS" w:cs="TimesNewRomanPSMT"/>
          <w:sz w:val="28"/>
          <w:szCs w:val="28"/>
        </w:rPr>
        <w:t>. 292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primera tumba, mandada romper por el obispo,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se leía este epitafio, que ignoro si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copiado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transcrito con toda fidelidad:</w:t>
      </w:r>
    </w:p>
    <w:p w:rsidR="007A7F6D" w:rsidRPr="00CD14CF" w:rsidRDefault="007A7F6D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lastRenderedPageBreak/>
        <w:t>Aquí yace en poca tierra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el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que toda la tenía,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el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que la paz y la guerra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en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su mano la tenía.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Oh tú que vas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buscar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dinas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cosas que loar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de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tus loas lo más diño,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aquí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para tu camino,</w:t>
      </w:r>
    </w:p>
    <w:p w:rsidR="00EA4E37" w:rsidRDefault="00EA4E37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  <w:proofErr w:type="gramStart"/>
      <w:r w:rsidRPr="00CD14CF">
        <w:rPr>
          <w:rFonts w:ascii="Trebuchet MS" w:hAnsi="Trebuchet MS" w:cs="TimesNewRomanPSMT"/>
          <w:sz w:val="28"/>
          <w:szCs w:val="28"/>
        </w:rPr>
        <w:t>no</w:t>
      </w:r>
      <w:proofErr w:type="gramEnd"/>
      <w:r w:rsidRPr="00CD14CF">
        <w:rPr>
          <w:rFonts w:ascii="Trebuchet MS" w:hAnsi="Trebuchet MS" w:cs="TimesNewRomanPSMT"/>
          <w:sz w:val="28"/>
          <w:szCs w:val="28"/>
        </w:rPr>
        <w:t xml:space="preserve"> cures de más andar.</w:t>
      </w:r>
    </w:p>
    <w:p w:rsidR="00CD14CF" w:rsidRPr="00CD14CF" w:rsidRDefault="00CD14CF" w:rsidP="007A7F6D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rebuchet MS" w:hAnsi="Trebuchet MS" w:cs="TimesNewRomanPSMT"/>
          <w:sz w:val="28"/>
          <w:szCs w:val="28"/>
        </w:rPr>
      </w:pP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No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César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Borgia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 xml:space="preserve"> el único prisionero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Estado que tuvo el castillo de La Mota. Allí</w:t>
      </w:r>
      <w:r w:rsid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estuvieron presos también, entre otros personajes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ilustres, Don Pedro Tenorio, arzobispo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Toledo; Hernando de Pizarro; Don Enrique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Toledo, marqués de Coria, por burlador de damas,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el famoso valido Don Rodrigo Calderón,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marqués de Siete Iglesias.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Cada uno de estos presos tiene su leyenda,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como cada torre su conseja; que no hay preso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sin historia ni torreón sin duende.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Sí; castillo es el de la Mota que tiene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maravillantes</w:t>
      </w:r>
      <w:proofErr w:type="spellEnd"/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recuerdos; pero todos se desvanecen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ante el de Isabel </w:t>
      </w:r>
      <w:r w:rsidRPr="00CD14CF">
        <w:rPr>
          <w:rFonts w:ascii="Trebuchet MS" w:hAnsi="Trebuchet MS" w:cs="TimesNewRomanPS-ItalicMT"/>
          <w:i/>
          <w:iCs/>
          <w:sz w:val="28"/>
          <w:szCs w:val="28"/>
        </w:rPr>
        <w:t xml:space="preserve">la Católica, </w:t>
      </w:r>
      <w:r w:rsidRPr="00CD14CF">
        <w:rPr>
          <w:rFonts w:ascii="Trebuchet MS" w:hAnsi="Trebuchet MS" w:cs="TimesNewRomanPSMT"/>
          <w:sz w:val="28"/>
          <w:szCs w:val="28"/>
        </w:rPr>
        <w:t>que allí murió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allí vive todavía, y ante el de Fernando,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el de la jornada de Toro y el de las campañas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Granada, que allí está aún de cuerpo entero: Isabel y Fernando, venturoso matrimonio 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>pág. 293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que tomó por empresa, con el </w:t>
      </w:r>
      <w:r w:rsidRPr="00CD14CF">
        <w:rPr>
          <w:rFonts w:ascii="Trebuchet MS" w:hAnsi="Trebuchet MS" w:cs="TimesNewRomanPS-ItalicMT"/>
          <w:i/>
          <w:iCs/>
          <w:sz w:val="28"/>
          <w:szCs w:val="28"/>
        </w:rPr>
        <w:t>Tanto monta,</w:t>
      </w:r>
      <w:r w:rsidR="0019084F" w:rsidRPr="00CD14CF">
        <w:rPr>
          <w:rFonts w:ascii="Trebuchet MS" w:hAnsi="Trebuchet MS" w:cs="TimesNewRomanPS-ItalicMT"/>
          <w:i/>
          <w:iCs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la flecha y el nudo, y unión más venturosa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todavía, pues que realizó la de Aragón y Castilla,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como hubiera realizado la de Portugal y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España si la muerte traicionera no le hubiese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arrebatado su nieto cuando estaba en la infancia.</w:t>
      </w:r>
    </w:p>
    <w:p w:rsidR="00EA4E37" w:rsidRPr="00CD14CF" w:rsidRDefault="000B26E6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¡Qué</w:t>
      </w:r>
      <w:r w:rsidR="00EA4E37" w:rsidRPr="00CD14CF">
        <w:rPr>
          <w:rFonts w:ascii="Trebuchet MS" w:hAnsi="Trebuchet MS" w:cs="TimesNewRomanPSMT"/>
          <w:sz w:val="28"/>
          <w:szCs w:val="28"/>
        </w:rPr>
        <w:t xml:space="preserve"> infausta y miserable suerte la de este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castillo, que es padrón de excelsitud como lo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fueron otros de poquedad e</w:t>
      </w:r>
      <w:r w:rsidR="00EA4E37" w:rsidRPr="00CD14CF">
        <w:rPr>
          <w:rFonts w:ascii="Trebuchet MS" w:hAnsi="Trebuchet MS" w:cs="TimesNewRomanPSMT"/>
          <w:sz w:val="28"/>
          <w:szCs w:val="28"/>
        </w:rPr>
        <w:t xml:space="preserve"> infamia! ¡Y qué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tristeza la de los humanos destinos!</w:t>
      </w:r>
    </w:p>
    <w:p w:rsidR="00EA4E37" w:rsidRPr="00CD14CF" w:rsidRDefault="000B26E6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Fue</w:t>
      </w:r>
      <w:r w:rsidR="00EA4E37" w:rsidRPr="00CD14CF">
        <w:rPr>
          <w:rFonts w:ascii="Trebuchet MS" w:hAnsi="Trebuchet MS" w:cs="TimesNewRomanPSMT"/>
          <w:sz w:val="28"/>
          <w:szCs w:val="28"/>
        </w:rPr>
        <w:t xml:space="preserve"> esta morada en sus grandes tiempos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alcázar augusto, cámara regia, sede soberana,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aula de gloria.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Alcanzó esta mansión la época aquella en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el día no tuvo noche para la bandera española.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Todavía el sol con sus últimos rayos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cada tarde hería la bandera bicolor arbolada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en la torre albarrana de La Mota, cuando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ya con sus primeras luces matutinas doraba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la que allá, al otro lado de los mares y en un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nuevo mundo, habían izado nuestros arriscados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emprendedores nautas.</w:t>
      </w:r>
    </w:p>
    <w:p w:rsidR="00EA4E37" w:rsidRPr="00CD14CF" w:rsidRDefault="000B26E6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Fue</w:t>
      </w:r>
      <w:r w:rsidR="00EA4E37" w:rsidRPr="00CD14CF">
        <w:rPr>
          <w:rFonts w:ascii="Trebuchet MS" w:hAnsi="Trebuchet MS" w:cs="TimesNewRomanPSMT"/>
          <w:sz w:val="28"/>
          <w:szCs w:val="28"/>
        </w:rPr>
        <w:t xml:space="preserve"> entonces el alcázar de La Mota teatro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de fiestas y coso de gallardías. Guardando</w:t>
      </w:r>
      <w:r w:rsid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siempre como recuerdo sacro la cámara mortuoria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donde Isabel de Castilla devolvió al Todopoderoso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la flor de su alma, tuvo saraos y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 </w:t>
      </w:r>
      <w:r w:rsidR="00EA4E37" w:rsidRPr="00CD14CF">
        <w:rPr>
          <w:rFonts w:ascii="Trebuchet MS" w:hAnsi="Trebuchet MS" w:cs="TimesNewRomanPSMT"/>
          <w:sz w:val="28"/>
          <w:szCs w:val="28"/>
        </w:rPr>
        <w:t xml:space="preserve">luminarias para celebrar los triunfos de </w:t>
      </w:r>
      <w:r w:rsidR="00EA4E37" w:rsidRPr="00CD14CF">
        <w:rPr>
          <w:rFonts w:ascii="Trebuchet MS" w:hAnsi="Trebuchet MS" w:cs="TimesNewRomanPSMT"/>
          <w:sz w:val="28"/>
          <w:szCs w:val="28"/>
        </w:rPr>
        <w:lastRenderedPageBreak/>
        <w:t>España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en ambos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hemisferios, y fueron sus estancias 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>pág. 294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t</w:t>
      </w:r>
      <w:r w:rsidR="00EA4E37" w:rsidRPr="00CD14CF">
        <w:rPr>
          <w:rFonts w:ascii="Trebuchet MS" w:hAnsi="Trebuchet MS" w:cs="TimesNewRomanPSMT"/>
          <w:sz w:val="28"/>
          <w:szCs w:val="28"/>
        </w:rPr>
        <w:t>orneo de damas y galanes, y fueron sus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patios de armas palenque de justas y cañas, y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fueron sus recintos concurso de caballeros,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asamblea de magnates y seminario de resonantes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empresas.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Esto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entonces.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Lo que ha sido después... ¡Ah! Lo que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ha sido después, ayer, hoy, en estos nuestros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días, no debiera quizá decirlo, ni mentarlo siquiera.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Pero ¿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cómo, cómo y para qué callarlo, </w:t>
      </w:r>
      <w:r w:rsidRPr="00CD14CF">
        <w:rPr>
          <w:rFonts w:ascii="Trebuchet MS" w:hAnsi="Trebuchet MS" w:cs="TimesNewRomanPSMT"/>
          <w:sz w:val="28"/>
          <w:szCs w:val="28"/>
        </w:rPr>
        <w:t>cuando todo el mundo lo sabe, cuando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anda en lenguas más aún por tierras extranjeras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por tierras españolas? ¿Cómo no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decirlo cuando arde aún en mis mejillas el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rubor con que hubieron de encenderse al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presenciar 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l suceso ocurrido al pie de sus </w:t>
      </w:r>
      <w:r w:rsidRPr="00CD14CF">
        <w:rPr>
          <w:rFonts w:ascii="Trebuchet MS" w:hAnsi="Trebuchet MS" w:cs="TimesNewRomanPSMT"/>
          <w:sz w:val="28"/>
          <w:szCs w:val="28"/>
        </w:rPr>
        <w:t>muros?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A mi salida del castillo la 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tarde que fui a </w:t>
      </w:r>
      <w:r w:rsidRPr="00CD14CF">
        <w:rPr>
          <w:rFonts w:ascii="Trebuchet MS" w:hAnsi="Trebuchet MS" w:cs="TimesNewRomanPSMT"/>
          <w:sz w:val="28"/>
          <w:szCs w:val="28"/>
        </w:rPr>
        <w:t>visitarlo, hube de cruzarme con una, al parecer,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por su fino porte, muy distinguida familia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inglesa, compuesta de tres damas y un caballero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anciano. Andaban como desatentados,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buscando en vano la manera de penetrar en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aquel recinto, al que sólo da entrada el arisco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desplaciente agujero de que antes hice mención.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Pasé de largo, devuelto el natural saludo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cortesía, y había ya emprendido </w:t>
      </w:r>
      <w:r w:rsidR="0019084F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campo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travieso el 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camino del pueblo, cuando hasta </w:t>
      </w:r>
      <w:r w:rsidRPr="00CD14CF">
        <w:rPr>
          <w:rFonts w:ascii="Trebuchet MS" w:hAnsi="Trebuchet MS" w:cs="TimesNewRomanPSMT"/>
          <w:sz w:val="28"/>
          <w:szCs w:val="28"/>
        </w:rPr>
        <w:t>mí llegó un agudo grito de las damas inglesas,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venían desaladas como huyendo de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0B26E6" w:rsidRPr="00CD14CF">
        <w:rPr>
          <w:rFonts w:ascii="Trebuchet MS" w:hAnsi="Trebuchet MS" w:cs="TimesNewRomanPSMT"/>
          <w:sz w:val="28"/>
          <w:szCs w:val="28"/>
        </w:rPr>
        <w:t>pág. 295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un peligro. Era que acababan de ver salir,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casi arrastrándose, por aquel agujero troglodítico,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especie de boca de caverna,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un fornido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gañán que se adelantaba hacia el grupo forastero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para servirle de guía, precisamente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como había hecho pocos momentos antes conmigo.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Con su calañés</w:t>
      </w:r>
      <w:r w:rsidR="00CD14CF">
        <w:rPr>
          <w:rStyle w:val="Refdenotaalpie"/>
          <w:rFonts w:ascii="Trebuchet MS" w:hAnsi="Trebuchet MS" w:cs="TimesNewRomanPSMT"/>
          <w:sz w:val="28"/>
          <w:szCs w:val="28"/>
        </w:rPr>
        <w:footnoteReference w:id="2"/>
      </w:r>
      <w:r w:rsidRPr="00CD14CF">
        <w:rPr>
          <w:rFonts w:ascii="Trebuchet MS" w:hAnsi="Trebuchet MS" w:cs="TimesNewRomanPSMT"/>
          <w:sz w:val="28"/>
          <w:szCs w:val="28"/>
        </w:rPr>
        <w:t xml:space="preserve"> puntiagudo, por debajo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del cual caían lacias y desmazaladas</w:t>
      </w:r>
      <w:r w:rsidR="00CD14CF">
        <w:rPr>
          <w:rStyle w:val="Refdenotaalpie"/>
          <w:rFonts w:ascii="Trebuchet MS" w:hAnsi="Trebuchet MS" w:cs="TimesNewRomanPSMT"/>
          <w:sz w:val="28"/>
          <w:szCs w:val="28"/>
        </w:rPr>
        <w:footnoteReference w:id="3"/>
      </w:r>
      <w:r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  <w:u w:val="single"/>
        </w:rPr>
        <w:t>guedejas</w:t>
      </w:r>
      <w:r w:rsidR="00CD14CF">
        <w:rPr>
          <w:rStyle w:val="Refdenotaalpie"/>
          <w:rFonts w:ascii="Trebuchet MS" w:hAnsi="Trebuchet MS" w:cs="TimesNewRomanPSMT"/>
          <w:sz w:val="28"/>
          <w:szCs w:val="28"/>
          <w:u w:val="single"/>
        </w:rPr>
        <w:footnoteReference w:id="4"/>
      </w:r>
      <w:r w:rsidRPr="00CD14CF">
        <w:rPr>
          <w:rFonts w:ascii="Trebuchet MS" w:hAnsi="Trebuchet MS" w:cs="TimesNewRomanPSMT"/>
          <w:sz w:val="28"/>
          <w:szCs w:val="28"/>
        </w:rPr>
        <w:t>,</w:t>
      </w:r>
      <w:r w:rsidR="00CD14C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con su gran faja roja, por entre cuyos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bordes asomaban los ojos de formidable tijera,</w:t>
      </w:r>
      <w:r w:rsidR="00CD14C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más que trazas de guía </w:t>
      </w:r>
      <w:r w:rsidR="000B26E6" w:rsidRPr="00CD14CF">
        <w:rPr>
          <w:rFonts w:ascii="Trebuchet MS" w:hAnsi="Trebuchet MS" w:cs="TimesNewRomanPSMT"/>
          <w:sz w:val="28"/>
          <w:szCs w:val="28"/>
        </w:rPr>
        <w:t>o</w:t>
      </w:r>
      <w:r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-ItalicMT"/>
          <w:i/>
          <w:iCs/>
          <w:sz w:val="28"/>
          <w:szCs w:val="28"/>
        </w:rPr>
        <w:t xml:space="preserve">cicerone, </w:t>
      </w:r>
      <w:r w:rsidRPr="00CD14CF">
        <w:rPr>
          <w:rFonts w:ascii="Trebuchet MS" w:hAnsi="Trebuchet MS" w:cs="TimesNewRomanPSMT"/>
          <w:sz w:val="28"/>
          <w:szCs w:val="28"/>
        </w:rPr>
        <w:t>las tenía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hombre de pelo en pecho y guadijeño </w:t>
      </w:r>
      <w:r w:rsidR="00CD14CF">
        <w:rPr>
          <w:rStyle w:val="Refdenotaalpie"/>
          <w:rFonts w:ascii="Trebuchet MS" w:hAnsi="Trebuchet MS" w:cs="TimesNewRomanPSMT"/>
          <w:sz w:val="28"/>
          <w:szCs w:val="28"/>
        </w:rPr>
        <w:footnoteReference w:id="5"/>
      </w:r>
      <w:r w:rsidRPr="00CD14CF">
        <w:rPr>
          <w:rFonts w:ascii="Trebuchet MS" w:hAnsi="Trebuchet MS" w:cs="TimesNewRomanPSMT"/>
          <w:sz w:val="28"/>
          <w:szCs w:val="28"/>
        </w:rPr>
        <w:t>en</w:t>
      </w:r>
      <w:r w:rsidR="0019084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mano.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Porque es así, porque éste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>, un gitano,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el guía que tuve, muy complaciente y muy</w:t>
      </w:r>
      <w:r w:rsidR="00CD14C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cortés por cierto, para acompañarme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visitar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aquellas ruinas que encontramos hechas un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aduar de gitanos, el </w:t>
      </w:r>
      <w:r w:rsidRPr="00CD14CF">
        <w:rPr>
          <w:rFonts w:ascii="Trebuchet MS" w:hAnsi="Trebuchet MS" w:cs="TimesNewRomanPSMT"/>
          <w:sz w:val="28"/>
          <w:szCs w:val="28"/>
        </w:rPr>
        <w:lastRenderedPageBreak/>
        <w:t xml:space="preserve">día que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ellas llegué en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grata compañía de mi amigo querido D. Lorenzo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Merino, </w:t>
      </w:r>
      <w:r w:rsidR="000B26E6" w:rsidRPr="00CD14CF">
        <w:rPr>
          <w:rFonts w:ascii="Trebuchet MS" w:hAnsi="Trebuchet MS" w:cs="TimesNewRomanPSMT"/>
          <w:sz w:val="28"/>
          <w:szCs w:val="28"/>
        </w:rPr>
        <w:t>vallisoletano</w:t>
      </w:r>
      <w:r w:rsidRPr="00CD14CF">
        <w:rPr>
          <w:rFonts w:ascii="Trebuchet MS" w:hAnsi="Trebuchet MS" w:cs="TimesNewRomanPSMT"/>
          <w:sz w:val="28"/>
          <w:szCs w:val="28"/>
        </w:rPr>
        <w:t xml:space="preserve"> ilustre.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Olvidadas de sus antiguos esplendores,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aquellas ruinas han sido en nuestros días todo</w:t>
      </w:r>
      <w:r w:rsidR="00CD14C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lo que se puede ser de más menguado y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miserable: cueva de bandidos, refugio de ladrones,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lar y campamento de gitanos errantes,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abrigo de pordioseros, hospital de miserias,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teatro y campo de jiras pantagruélicas,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zahúrda</w:t>
      </w:r>
      <w:r w:rsidR="00CD14CF">
        <w:rPr>
          <w:rStyle w:val="Refdenotaalpie"/>
          <w:rFonts w:ascii="Trebuchet MS" w:hAnsi="Trebuchet MS" w:cs="TimesNewRomanPSMT"/>
          <w:sz w:val="28"/>
          <w:szCs w:val="28"/>
        </w:rPr>
        <w:footnoteReference w:id="6"/>
      </w:r>
      <w:r w:rsidRPr="00CD14CF">
        <w:rPr>
          <w:rFonts w:ascii="Trebuchet MS" w:hAnsi="Trebuchet MS" w:cs="TimesNewRomanPSMT"/>
          <w:sz w:val="28"/>
          <w:szCs w:val="28"/>
        </w:rPr>
        <w:t xml:space="preserve"> de puercos, amparo de fugitivos, punto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de citas </w:t>
      </w:r>
      <w:proofErr w:type="spellStart"/>
      <w:r w:rsidRPr="00CD14CF">
        <w:rPr>
          <w:rFonts w:ascii="Trebuchet MS" w:hAnsi="Trebuchet MS" w:cs="TimesNewRomanPSMT"/>
          <w:sz w:val="28"/>
          <w:szCs w:val="28"/>
        </w:rPr>
        <w:t>burdeleras</w:t>
      </w:r>
      <w:proofErr w:type="spellEnd"/>
      <w:r w:rsidRPr="00CD14CF">
        <w:rPr>
          <w:rFonts w:ascii="Trebuchet MS" w:hAnsi="Trebuchet MS" w:cs="TimesNewRomanPSMT"/>
          <w:sz w:val="28"/>
          <w:szCs w:val="28"/>
        </w:rPr>
        <w:t>, buitrera</w:t>
      </w:r>
      <w:r w:rsidR="00CD14CF">
        <w:rPr>
          <w:rStyle w:val="Refdenotaalpie"/>
          <w:rFonts w:ascii="Trebuchet MS" w:hAnsi="Trebuchet MS" w:cs="TimesNewRomanPSMT"/>
          <w:sz w:val="28"/>
          <w:szCs w:val="28"/>
        </w:rPr>
        <w:footnoteReference w:id="7"/>
      </w:r>
      <w:r w:rsidRPr="00CD14CF">
        <w:rPr>
          <w:rFonts w:ascii="Trebuchet MS" w:hAnsi="Trebuchet MS" w:cs="TimesNewRomanPSMT"/>
          <w:sz w:val="28"/>
          <w:szCs w:val="28"/>
        </w:rPr>
        <w:t xml:space="preserve"> y muladar de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inmundas bestias.</w:t>
      </w:r>
    </w:p>
    <w:p w:rsidR="000B26E6" w:rsidRPr="00CD14CF" w:rsidRDefault="007A7F6D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0B26E6" w:rsidRPr="00CD14CF">
        <w:rPr>
          <w:rFonts w:ascii="Trebuchet MS" w:hAnsi="Trebuchet MS" w:cs="TimesNewRomanPSMT"/>
          <w:sz w:val="28"/>
          <w:szCs w:val="28"/>
        </w:rPr>
        <w:t>pág. 296</w:t>
      </w:r>
      <w:r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0B26E6" w:rsidRPr="00CD14CF">
        <w:rPr>
          <w:rFonts w:ascii="Trebuchet MS" w:hAnsi="Trebuchet MS" w:cs="TimesNewRomanPSMT"/>
          <w:sz w:val="28"/>
          <w:szCs w:val="28"/>
        </w:rPr>
        <w:t xml:space="preserve"> 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Todo, pues, lo </w:t>
      </w:r>
      <w:r w:rsidR="000B26E6" w:rsidRPr="00CD14CF">
        <w:rPr>
          <w:rFonts w:ascii="Trebuchet MS" w:hAnsi="Trebuchet MS" w:cs="TimesNewRomanPSMT"/>
          <w:sz w:val="28"/>
          <w:szCs w:val="28"/>
        </w:rPr>
        <w:t>fue</w:t>
      </w:r>
      <w:r w:rsidRPr="00CD14CF">
        <w:rPr>
          <w:rFonts w:ascii="Trebuchet MS" w:hAnsi="Trebuchet MS" w:cs="TimesNewRomanPSMT"/>
          <w:sz w:val="28"/>
          <w:szCs w:val="28"/>
        </w:rPr>
        <w:t xml:space="preserve"> aquel alcázar famosísimo.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 xml:space="preserve">Desde palacio </w:t>
      </w:r>
      <w:r w:rsidR="00CD14CF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pocilga.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Lo que nunca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ha sido es monumento nacional, </w:t>
      </w:r>
      <w:r w:rsidRPr="00CD14CF">
        <w:rPr>
          <w:rFonts w:ascii="Trebuchet MS" w:hAnsi="Trebuchet MS" w:cs="TimesNewRomanPSMT"/>
          <w:sz w:val="28"/>
          <w:szCs w:val="28"/>
        </w:rPr>
        <w:t>con serlo tanto.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Jamás pensaron ni el Estado, ni el Patrimonio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real, ni el Municipio, entre los cuales</w:t>
      </w:r>
      <w:r w:rsidR="00CD14C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parece que algún día fincó pleito, jamás pensaron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en situar allí un guardián conservador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aquellos restos, que por imperdonable incuria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vinieron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degradación suprema.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No debía aquel alcázar restaurarse, no, ni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pensar en ello, porque también las ruinas visten,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también son ellas soberbio paramento y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compañía excelente para el recuerdo; pero debían,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sí, conservarse para nunca llegar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la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triste condición que hoy tienen. No hubiera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estado de más, y es lo menos, un vigilante que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cuidara de aquellas ruinas, siquiera para impedir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el robo y el escándalo, siquiera para que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los extranjeros que por amor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las glorias españolas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acuden </w:t>
      </w:r>
      <w:r w:rsidR="000B26E6" w:rsidRPr="00CD14CF">
        <w:rPr>
          <w:rFonts w:ascii="Trebuchet MS" w:hAnsi="Trebuchet MS" w:cs="TimesNewRomanPSMT"/>
          <w:sz w:val="28"/>
          <w:szCs w:val="28"/>
        </w:rPr>
        <w:t>a</w:t>
      </w:r>
      <w:r w:rsidRPr="00CD14CF">
        <w:rPr>
          <w:rFonts w:ascii="Trebuchet MS" w:hAnsi="Trebuchet MS" w:cs="TimesNewRomanPSMT"/>
          <w:sz w:val="28"/>
          <w:szCs w:val="28"/>
        </w:rPr>
        <w:t xml:space="preserve"> visitarlas, no tengan que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huir espantados al encontrarse con los huéspedes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de ellas hicieron su posada.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Y ya nada más tengo que decir.</w:t>
      </w:r>
    </w:p>
    <w:p w:rsidR="00EA4E37" w:rsidRPr="00CD14CF" w:rsidRDefault="000B26E6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¡Ah</w:t>
      </w:r>
      <w:r w:rsidR="00EA4E37" w:rsidRPr="00CD14CF">
        <w:rPr>
          <w:rFonts w:ascii="Trebuchet MS" w:hAnsi="Trebuchet MS" w:cs="TimesNewRomanPSMT"/>
          <w:sz w:val="28"/>
          <w:szCs w:val="28"/>
        </w:rPr>
        <w:t>! Sí, se me olvidaba. Algo me falta que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="00EA4E37" w:rsidRPr="00CD14CF">
        <w:rPr>
          <w:rFonts w:ascii="Trebuchet MS" w:hAnsi="Trebuchet MS" w:cs="TimesNewRomanPSMT"/>
          <w:sz w:val="28"/>
          <w:szCs w:val="28"/>
        </w:rPr>
        <w:t>decir aún; pero es muy poco.</w:t>
      </w:r>
    </w:p>
    <w:p w:rsidR="00EA4E37" w:rsidRPr="00CD14CF" w:rsidRDefault="00EA4E37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  <w:r w:rsidRPr="00CD14CF">
        <w:rPr>
          <w:rFonts w:ascii="Trebuchet MS" w:hAnsi="Trebuchet MS" w:cs="TimesNewRomanPSMT"/>
          <w:sz w:val="28"/>
          <w:szCs w:val="28"/>
        </w:rPr>
        <w:t>Medina, la del Campo, la del real de las ferias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y la de las ferias reales, la amadora de</w:t>
      </w:r>
      <w:r w:rsidR="00CD14CF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 xml:space="preserve">Isabel </w:t>
      </w:r>
      <w:r w:rsidRPr="00CD14CF">
        <w:rPr>
          <w:rFonts w:ascii="Trebuchet MS" w:hAnsi="Trebuchet MS" w:cs="TimesNewRomanPS-ItalicMT"/>
          <w:i/>
          <w:iCs/>
          <w:sz w:val="28"/>
          <w:szCs w:val="28"/>
        </w:rPr>
        <w:t xml:space="preserve">la Católica </w:t>
      </w:r>
      <w:r w:rsidRPr="00CD14CF">
        <w:rPr>
          <w:rFonts w:ascii="Trebuchet MS" w:hAnsi="Trebuchet MS" w:cs="TimesNewRomanPSMT"/>
          <w:sz w:val="28"/>
          <w:szCs w:val="28"/>
        </w:rPr>
        <w:t>y de las reinas castellanas,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la debeladora de Gran</w:t>
      </w:r>
      <w:r w:rsidR="00CD14CF">
        <w:rPr>
          <w:rFonts w:ascii="Trebuchet MS" w:hAnsi="Trebuchet MS" w:cs="TimesNewRomanPSMT"/>
          <w:sz w:val="28"/>
          <w:szCs w:val="28"/>
        </w:rPr>
        <w:t>ada, la fiera de las</w:t>
      </w:r>
      <w:r w:rsidR="007A7F6D" w:rsidRPr="00CD14CF">
        <w:rPr>
          <w:rFonts w:ascii="Trebuchet MS" w:hAnsi="Trebuchet MS" w:cs="TimesNewRomanPSMT"/>
          <w:sz w:val="28"/>
          <w:szCs w:val="28"/>
        </w:rPr>
        <w:t>—</w:t>
      </w:r>
      <w:r w:rsidR="000B26E6" w:rsidRPr="00CD14CF">
        <w:rPr>
          <w:rFonts w:ascii="Trebuchet MS" w:hAnsi="Trebuchet MS" w:cs="TimesNewRomanPSMT"/>
          <w:sz w:val="28"/>
          <w:szCs w:val="28"/>
        </w:rPr>
        <w:t>pág. 297</w:t>
      </w:r>
      <w:r w:rsidR="007A7F6D" w:rsidRPr="00CD14CF">
        <w:rPr>
          <w:rFonts w:ascii="Trebuchet MS" w:hAnsi="Trebuchet MS" w:cs="TimesNewRomanPSMT"/>
          <w:sz w:val="28"/>
          <w:szCs w:val="28"/>
        </w:rPr>
        <w:t xml:space="preserve"> —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Co</w:t>
      </w:r>
      <w:r w:rsidRPr="00CD14CF">
        <w:rPr>
          <w:rFonts w:ascii="Trebuchet MS" w:hAnsi="Trebuchet MS" w:cs="TimesNewRomanPSMT"/>
          <w:sz w:val="28"/>
          <w:szCs w:val="28"/>
        </w:rPr>
        <w:t>munidades de Castilla, Medina, no tiene perdón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Dios, y los Gobiernos españoles, éste y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aquél, el uno y el otro, incluso los mismos de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que formé yo parte, no lo tienen ni de Dios ni</w:t>
      </w:r>
      <w:r w:rsidR="00BD2201" w:rsidRPr="00CD14CF">
        <w:rPr>
          <w:rFonts w:ascii="Trebuchet MS" w:hAnsi="Trebuchet MS" w:cs="TimesNewRomanPSMT"/>
          <w:sz w:val="28"/>
          <w:szCs w:val="28"/>
        </w:rPr>
        <w:t xml:space="preserve"> </w:t>
      </w:r>
      <w:r w:rsidRPr="00CD14CF">
        <w:rPr>
          <w:rFonts w:ascii="Trebuchet MS" w:hAnsi="Trebuchet MS" w:cs="TimesNewRomanPSMT"/>
          <w:sz w:val="28"/>
          <w:szCs w:val="28"/>
        </w:rPr>
        <w:t>de los hombres.</w:t>
      </w:r>
    </w:p>
    <w:p w:rsidR="00CD14CF" w:rsidRPr="00CD14CF" w:rsidRDefault="00CD14CF" w:rsidP="007A7F6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MT"/>
          <w:sz w:val="28"/>
          <w:szCs w:val="28"/>
        </w:rPr>
      </w:pPr>
    </w:p>
    <w:p w:rsidR="005141AE" w:rsidRPr="00CD14CF" w:rsidRDefault="00EA4E37" w:rsidP="007A7F6D">
      <w:pPr>
        <w:jc w:val="both"/>
        <w:rPr>
          <w:rFonts w:ascii="Trebuchet MS" w:hAnsi="Trebuchet MS" w:cs="TimesNewRomanPS-BoldItalicMT"/>
          <w:b/>
          <w:bCs/>
          <w:i/>
          <w:iCs/>
          <w:sz w:val="28"/>
          <w:szCs w:val="28"/>
        </w:rPr>
      </w:pPr>
      <w:r w:rsidRPr="00CD14CF">
        <w:rPr>
          <w:rFonts w:ascii="Trebuchet MS" w:hAnsi="Trebuchet MS" w:cs="TimesNewRomanPS-BoldItalicMT"/>
          <w:bCs/>
          <w:i/>
          <w:iCs/>
          <w:sz w:val="28"/>
          <w:szCs w:val="28"/>
        </w:rPr>
        <w:t xml:space="preserve">Madrid y </w:t>
      </w:r>
      <w:r w:rsidR="00BD2201" w:rsidRPr="00CD14CF">
        <w:rPr>
          <w:rFonts w:ascii="Trebuchet MS" w:hAnsi="Trebuchet MS" w:cs="TimesNewRomanPS-BoldItalicMT"/>
          <w:bCs/>
          <w:i/>
          <w:iCs/>
          <w:sz w:val="28"/>
          <w:szCs w:val="28"/>
        </w:rPr>
        <w:t>o</w:t>
      </w:r>
      <w:r w:rsidRPr="00CD14CF">
        <w:rPr>
          <w:rFonts w:ascii="Trebuchet MS" w:hAnsi="Trebuchet MS" w:cs="TimesNewRomanPS-BoldItalicMT"/>
          <w:bCs/>
          <w:i/>
          <w:iCs/>
          <w:sz w:val="28"/>
          <w:szCs w:val="28"/>
        </w:rPr>
        <w:t xml:space="preserve">ctubre de </w:t>
      </w:r>
      <w:r w:rsidR="000B26E6" w:rsidRPr="00CD14CF">
        <w:rPr>
          <w:rFonts w:ascii="Trebuchet MS" w:hAnsi="Trebuchet MS" w:cs="TimesNewRomanPS-BoldItalicMT"/>
          <w:bCs/>
          <w:i/>
          <w:iCs/>
          <w:sz w:val="28"/>
          <w:szCs w:val="28"/>
        </w:rPr>
        <w:t>1</w:t>
      </w:r>
      <w:r w:rsidRPr="00CD14CF">
        <w:rPr>
          <w:rFonts w:ascii="Trebuchet MS" w:hAnsi="Trebuchet MS" w:cs="TimesNewRomanPS-BoldItalicMT"/>
          <w:bCs/>
          <w:i/>
          <w:iCs/>
          <w:sz w:val="28"/>
          <w:szCs w:val="28"/>
        </w:rPr>
        <w:t>89</w:t>
      </w:r>
      <w:r w:rsidR="007A7F6D" w:rsidRPr="00CD14CF">
        <w:rPr>
          <w:rFonts w:ascii="Trebuchet MS" w:hAnsi="Trebuchet MS" w:cs="TimesNewRomanPS-BoldItalicMT"/>
          <w:bCs/>
          <w:i/>
          <w:iCs/>
          <w:sz w:val="28"/>
          <w:szCs w:val="28"/>
        </w:rPr>
        <w:t>6</w:t>
      </w:r>
      <w:r w:rsidRPr="00CD14CF">
        <w:rPr>
          <w:rFonts w:ascii="Trebuchet MS" w:hAnsi="Trebuchet MS" w:cs="TimesNewRomanPS-BoldItalicMT"/>
          <w:b/>
          <w:bCs/>
          <w:i/>
          <w:iCs/>
          <w:sz w:val="28"/>
          <w:szCs w:val="28"/>
        </w:rPr>
        <w:t>.</w:t>
      </w:r>
    </w:p>
    <w:p w:rsidR="007A7F6D" w:rsidRPr="00CD14CF" w:rsidRDefault="00CD14CF" w:rsidP="007A7F6D">
      <w:pPr>
        <w:jc w:val="both"/>
        <w:rPr>
          <w:rFonts w:ascii="Trebuchet MS" w:hAnsi="Trebuchet MS"/>
          <w:sz w:val="28"/>
          <w:szCs w:val="28"/>
        </w:rPr>
      </w:pPr>
      <w:r w:rsidRPr="00CD14CF">
        <w:rPr>
          <w:rFonts w:ascii="Trebuchet MS" w:hAnsi="Trebuchet MS"/>
          <w:sz w:val="28"/>
          <w:szCs w:val="28"/>
        </w:rPr>
        <w:t>FUENTE</w:t>
      </w:r>
    </w:p>
    <w:p w:rsidR="007A7F6D" w:rsidRDefault="007A7F6D" w:rsidP="007A7F6D">
      <w:pPr>
        <w:jc w:val="both"/>
        <w:rPr>
          <w:rFonts w:ascii="Trebuchet MS" w:hAnsi="Trebuchet MS"/>
          <w:sz w:val="28"/>
          <w:szCs w:val="28"/>
        </w:rPr>
      </w:pPr>
      <w:r w:rsidRPr="00CD14CF">
        <w:rPr>
          <w:rFonts w:ascii="Trebuchet MS" w:hAnsi="Trebuchet MS"/>
          <w:sz w:val="28"/>
          <w:szCs w:val="28"/>
        </w:rPr>
        <w:lastRenderedPageBreak/>
        <w:t xml:space="preserve">Víctor Balaguer, </w:t>
      </w:r>
      <w:r w:rsidRPr="00CD14CF">
        <w:rPr>
          <w:rFonts w:ascii="Trebuchet MS" w:hAnsi="Trebuchet MS"/>
          <w:i/>
          <w:sz w:val="28"/>
          <w:szCs w:val="28"/>
        </w:rPr>
        <w:t>Historias y leyendas</w:t>
      </w:r>
      <w:r w:rsidRPr="00CD14CF">
        <w:rPr>
          <w:rFonts w:ascii="Trebuchet MS" w:hAnsi="Trebuchet MS"/>
          <w:sz w:val="28"/>
          <w:szCs w:val="28"/>
        </w:rPr>
        <w:t xml:space="preserve">, 1889. S.l.] [s.n.] Madrid Imp. </w:t>
      </w:r>
      <w:proofErr w:type="gramStart"/>
      <w:r w:rsidRPr="00CD14CF">
        <w:rPr>
          <w:rFonts w:ascii="Trebuchet MS" w:hAnsi="Trebuchet MS"/>
          <w:sz w:val="28"/>
          <w:szCs w:val="28"/>
        </w:rPr>
        <w:t>de</w:t>
      </w:r>
      <w:proofErr w:type="gramEnd"/>
      <w:r w:rsidRPr="00CD14CF">
        <w:rPr>
          <w:rFonts w:ascii="Trebuchet MS" w:hAnsi="Trebuchet MS"/>
          <w:sz w:val="28"/>
          <w:szCs w:val="28"/>
        </w:rPr>
        <w:t xml:space="preserve"> la Viuda de M. </w:t>
      </w:r>
      <w:proofErr w:type="spellStart"/>
      <w:r w:rsidRPr="00CD14CF">
        <w:rPr>
          <w:rFonts w:ascii="Trebuchet MS" w:hAnsi="Trebuchet MS"/>
          <w:sz w:val="28"/>
          <w:szCs w:val="28"/>
        </w:rPr>
        <w:t>Minuesa</w:t>
      </w:r>
      <w:proofErr w:type="spellEnd"/>
      <w:r w:rsidRPr="00CD14CF">
        <w:rPr>
          <w:rFonts w:ascii="Trebuchet MS" w:hAnsi="Trebuchet MS"/>
          <w:sz w:val="28"/>
          <w:szCs w:val="28"/>
        </w:rPr>
        <w:t xml:space="preserve"> de los Ríos</w:t>
      </w:r>
      <w:r w:rsidR="00CD14CF">
        <w:rPr>
          <w:rFonts w:ascii="Trebuchet MS" w:hAnsi="Trebuchet MS"/>
          <w:sz w:val="28"/>
          <w:szCs w:val="28"/>
        </w:rPr>
        <w:t>.</w:t>
      </w:r>
    </w:p>
    <w:p w:rsidR="00CD14CF" w:rsidRDefault="00CD14CF" w:rsidP="007A7F6D">
      <w:pPr>
        <w:jc w:val="both"/>
        <w:rPr>
          <w:rFonts w:ascii="Trebuchet MS" w:hAnsi="Trebuchet MS"/>
          <w:sz w:val="28"/>
          <w:szCs w:val="28"/>
        </w:rPr>
      </w:pPr>
    </w:p>
    <w:p w:rsidR="00CD14CF" w:rsidRPr="00CD14CF" w:rsidRDefault="00CD14CF" w:rsidP="007A7F6D">
      <w:p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NOTAS</w:t>
      </w:r>
    </w:p>
    <w:p w:rsidR="007A7F6D" w:rsidRPr="00CD14CF" w:rsidRDefault="007A7F6D">
      <w:pPr>
        <w:jc w:val="both"/>
        <w:rPr>
          <w:rFonts w:ascii="Trebuchet MS" w:hAnsi="Trebuchet MS"/>
          <w:sz w:val="28"/>
          <w:szCs w:val="28"/>
        </w:rPr>
      </w:pPr>
    </w:p>
    <w:sectPr w:rsidR="007A7F6D" w:rsidRPr="00CD14CF" w:rsidSect="00CD14C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7B" w:rsidRDefault="00EF107B" w:rsidP="00CD14CF">
      <w:pPr>
        <w:spacing w:after="0" w:line="240" w:lineRule="auto"/>
      </w:pPr>
      <w:r>
        <w:separator/>
      </w:r>
    </w:p>
  </w:endnote>
  <w:endnote w:type="continuationSeparator" w:id="0">
    <w:p w:rsidR="00EF107B" w:rsidRDefault="00EF107B" w:rsidP="00CD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7B" w:rsidRDefault="00EF107B" w:rsidP="00CD14CF">
      <w:pPr>
        <w:spacing w:after="0" w:line="240" w:lineRule="auto"/>
      </w:pPr>
      <w:r>
        <w:separator/>
      </w:r>
    </w:p>
  </w:footnote>
  <w:footnote w:type="continuationSeparator" w:id="0">
    <w:p w:rsidR="00EF107B" w:rsidRDefault="00EF107B" w:rsidP="00CD14CF">
      <w:pPr>
        <w:spacing w:after="0" w:line="240" w:lineRule="auto"/>
      </w:pPr>
      <w:r>
        <w:continuationSeparator/>
      </w:r>
    </w:p>
  </w:footnote>
  <w:footnote w:id="1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CD14CF">
        <w:rPr>
          <w:rFonts w:ascii="Trebuchet MS" w:hAnsi="Trebuchet MS" w:cs="TimesNewRomanPS-BoldMT"/>
          <w:bCs/>
          <w:i/>
          <w:sz w:val="24"/>
          <w:szCs w:val="24"/>
        </w:rPr>
        <w:t>Adarve:</w:t>
      </w:r>
      <w:r w:rsidRPr="00CD14CF">
        <w:rPr>
          <w:rFonts w:ascii="Trebuchet MS" w:hAnsi="Trebuchet MS" w:cs="TimesNewRomanPS-BoldMT"/>
          <w:bCs/>
          <w:sz w:val="24"/>
          <w:szCs w:val="24"/>
        </w:rPr>
        <w:t xml:space="preserve"> muro de fortaleza</w:t>
      </w:r>
    </w:p>
    <w:p w:rsidR="00CD14CF" w:rsidRDefault="00CD14CF">
      <w:pPr>
        <w:pStyle w:val="Textonotapie"/>
      </w:pPr>
    </w:p>
  </w:footnote>
  <w:footnote w:id="2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CD14CF">
        <w:rPr>
          <w:rFonts w:ascii="Trebuchet MS" w:hAnsi="Trebuchet MS" w:cs="TimesNewRomanPS-BoldMT"/>
          <w:bCs/>
          <w:i/>
          <w:sz w:val="24"/>
          <w:szCs w:val="24"/>
        </w:rPr>
        <w:t>Calañés</w:t>
      </w:r>
      <w:r w:rsidRPr="00CD14CF">
        <w:rPr>
          <w:rFonts w:ascii="Trebuchet MS" w:hAnsi="Trebuchet MS" w:cs="TimesNewRomanPS-BoldMT"/>
          <w:bCs/>
          <w:sz w:val="24"/>
          <w:szCs w:val="24"/>
        </w:rPr>
        <w:t>: natural de Calaña, en Huelva</w:t>
      </w:r>
    </w:p>
    <w:p w:rsidR="00CD14CF" w:rsidRDefault="00CD14CF">
      <w:pPr>
        <w:pStyle w:val="Textonotapie"/>
      </w:pPr>
    </w:p>
  </w:footnote>
  <w:footnote w:id="3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CD14CF">
        <w:rPr>
          <w:rFonts w:ascii="Trebuchet MS" w:hAnsi="Trebuchet MS" w:cs="TimesNewRomanPS-BoldMT"/>
          <w:bCs/>
          <w:i/>
          <w:sz w:val="24"/>
          <w:szCs w:val="24"/>
        </w:rPr>
        <w:t>Desmazalada</w:t>
      </w:r>
      <w:r w:rsidRPr="00CD14CF">
        <w:rPr>
          <w:rFonts w:ascii="Trebuchet MS" w:hAnsi="Trebuchet MS" w:cs="TimesNewRomanPS-BoldMT"/>
          <w:bCs/>
          <w:sz w:val="24"/>
          <w:szCs w:val="24"/>
        </w:rPr>
        <w:t>: caída, floja</w:t>
      </w:r>
    </w:p>
    <w:p w:rsidR="00CD14CF" w:rsidRDefault="00CD14CF">
      <w:pPr>
        <w:pStyle w:val="Textonotapie"/>
      </w:pPr>
    </w:p>
  </w:footnote>
  <w:footnote w:id="4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CD14CF">
        <w:rPr>
          <w:rFonts w:ascii="Trebuchet MS" w:hAnsi="Trebuchet MS" w:cs="TimesNewRomanPS-BoldMT"/>
          <w:bCs/>
          <w:i/>
          <w:sz w:val="24"/>
          <w:szCs w:val="24"/>
        </w:rPr>
        <w:t>Guedeja:</w:t>
      </w:r>
      <w:r w:rsidRPr="00CD14CF">
        <w:rPr>
          <w:rFonts w:ascii="Trebuchet MS" w:hAnsi="Trebuchet MS" w:cs="TimesNewRomanPS-BoldMT"/>
          <w:bCs/>
          <w:sz w:val="24"/>
          <w:szCs w:val="24"/>
        </w:rPr>
        <w:t xml:space="preserve"> mechón de pelo</w:t>
      </w:r>
    </w:p>
    <w:p w:rsidR="00CD14CF" w:rsidRDefault="00CD14CF">
      <w:pPr>
        <w:pStyle w:val="Textonotapie"/>
      </w:pPr>
    </w:p>
  </w:footnote>
  <w:footnote w:id="5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CD14CF">
        <w:rPr>
          <w:rFonts w:ascii="Trebuchet MS" w:hAnsi="Trebuchet MS" w:cs="TimesNewRomanPS-BoldMT"/>
          <w:bCs/>
          <w:i/>
          <w:sz w:val="24"/>
          <w:szCs w:val="24"/>
        </w:rPr>
        <w:t>Guadijeño</w:t>
      </w:r>
      <w:r w:rsidRPr="00CD14CF">
        <w:rPr>
          <w:rFonts w:ascii="Trebuchet MS" w:hAnsi="Trebuchet MS" w:cs="TimesNewRomanPS-BoldMT"/>
          <w:bCs/>
          <w:sz w:val="24"/>
          <w:szCs w:val="24"/>
        </w:rPr>
        <w:t>: cuchillo de una cuarta de largo y cuatro dedos de ancho con punta.</w:t>
      </w:r>
    </w:p>
    <w:p w:rsidR="00CD14CF" w:rsidRDefault="00CD14CF">
      <w:pPr>
        <w:pStyle w:val="Textonotapie"/>
      </w:pPr>
    </w:p>
  </w:footnote>
  <w:footnote w:id="6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CD14CF">
        <w:rPr>
          <w:rFonts w:ascii="Trebuchet MS" w:hAnsi="Trebuchet MS" w:cs="TimesNewRomanPS-BoldMT"/>
          <w:bCs/>
          <w:i/>
          <w:sz w:val="24"/>
          <w:szCs w:val="24"/>
        </w:rPr>
        <w:t>Zahurda</w:t>
      </w:r>
      <w:proofErr w:type="spellEnd"/>
      <w:r w:rsidRPr="00CD14CF">
        <w:rPr>
          <w:rFonts w:ascii="Trebuchet MS" w:hAnsi="Trebuchet MS" w:cs="TimesNewRomanPS-BoldMT"/>
          <w:bCs/>
          <w:sz w:val="24"/>
          <w:szCs w:val="24"/>
        </w:rPr>
        <w:t>: pocilga</w:t>
      </w:r>
    </w:p>
    <w:p w:rsidR="00CD14CF" w:rsidRDefault="00CD14CF">
      <w:pPr>
        <w:pStyle w:val="Textonotapie"/>
      </w:pPr>
    </w:p>
  </w:footnote>
  <w:footnote w:id="7">
    <w:p w:rsidR="00CD14CF" w:rsidRPr="00CD14CF" w:rsidRDefault="00CD14CF" w:rsidP="00CD14C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NewRomanPS-BoldMT"/>
          <w:b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CD14CF">
        <w:rPr>
          <w:rFonts w:ascii="Trebuchet MS" w:hAnsi="Trebuchet MS" w:cs="TimesNewRomanPS-BoldMT"/>
          <w:bCs/>
          <w:i/>
          <w:sz w:val="24"/>
          <w:szCs w:val="24"/>
        </w:rPr>
        <w:t>Buitrera:</w:t>
      </w:r>
      <w:r w:rsidRPr="00CD14CF">
        <w:rPr>
          <w:rFonts w:ascii="Trebuchet MS" w:hAnsi="Trebuchet MS" w:cs="TimesNewRomanPS-BoldMT"/>
          <w:bCs/>
          <w:sz w:val="24"/>
          <w:szCs w:val="24"/>
        </w:rPr>
        <w:t xml:space="preserve"> nido de buitres</w:t>
      </w:r>
    </w:p>
    <w:p w:rsidR="00CD14CF" w:rsidRDefault="00CD14CF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5E5A"/>
    <w:multiLevelType w:val="hybridMultilevel"/>
    <w:tmpl w:val="BFDA81A2"/>
    <w:lvl w:ilvl="0" w:tplc="8E98C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37"/>
    <w:rsid w:val="000B26E6"/>
    <w:rsid w:val="0019084F"/>
    <w:rsid w:val="005141AE"/>
    <w:rsid w:val="007A7F6D"/>
    <w:rsid w:val="00BD2201"/>
    <w:rsid w:val="00CD14CF"/>
    <w:rsid w:val="00D67A05"/>
    <w:rsid w:val="00EA4E37"/>
    <w:rsid w:val="00E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F6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D14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14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14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F6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D14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14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1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F7B3-06EB-48AF-B53B-E307CC45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2017-09-18T18:57:00Z</dcterms:created>
  <dcterms:modified xsi:type="dcterms:W3CDTF">2017-09-18T18:57:00Z</dcterms:modified>
</cp:coreProperties>
</file>